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4AD1" w14:textId="7850E7D3" w:rsidR="00CF7DD4" w:rsidRPr="00335B3F" w:rsidRDefault="00D113F0">
      <w:pPr>
        <w:rPr>
          <w:rFonts w:ascii="Tahoma" w:hAnsi="Tahoma" w:cs="Tahoma"/>
          <w:b/>
          <w:bCs/>
          <w:sz w:val="28"/>
          <w:szCs w:val="28"/>
        </w:rPr>
      </w:pPr>
      <w:r w:rsidRPr="00335B3F">
        <w:rPr>
          <w:rFonts w:ascii="Tahoma" w:hAnsi="Tahoma" w:cs="Tahoma"/>
          <w:b/>
          <w:bCs/>
          <w:sz w:val="28"/>
          <w:szCs w:val="28"/>
        </w:rPr>
        <w:t>Stanovisko starosty obce ke zprávě FV</w:t>
      </w:r>
      <w:r w:rsidR="00335B3F" w:rsidRPr="00335B3F">
        <w:rPr>
          <w:rFonts w:ascii="Tahoma" w:hAnsi="Tahoma" w:cs="Tahoma"/>
          <w:b/>
          <w:bCs/>
          <w:sz w:val="28"/>
          <w:szCs w:val="28"/>
        </w:rPr>
        <w:t xml:space="preserve"> ze dne 30.9.2021 k rozpočtovým opatřením za roky 2018-2020</w:t>
      </w:r>
    </w:p>
    <w:p w14:paraId="60A71E39" w14:textId="063F673F" w:rsidR="00D113F0" w:rsidRPr="00335B3F" w:rsidRDefault="00D113F0">
      <w:pPr>
        <w:rPr>
          <w:rFonts w:ascii="Tahoma" w:hAnsi="Tahoma" w:cs="Tahoma"/>
        </w:rPr>
      </w:pPr>
    </w:p>
    <w:p w14:paraId="762F66FD" w14:textId="7A44D1EE" w:rsidR="00D113F0" w:rsidRPr="00335B3F" w:rsidRDefault="00D113F0" w:rsidP="00D113F0">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Dne 16.6.2021 bylo usnesením č. 20/21 uloženo finančnímu výboru provedení analýzy rozpočtových opatření za poslední tři ukončené roky (2018 až 2020). Zadání plynoucí z usnesení bylo obecné, nicméně jsem očekával, že výstupem bude především nalezení příčin neustálého zpracovávání rozpočtových opatření</w:t>
      </w:r>
      <w:r w:rsidR="00335B3F">
        <w:rPr>
          <w:rFonts w:ascii="Tahoma" w:hAnsi="Tahoma" w:cs="Tahoma"/>
          <w:sz w:val="22"/>
          <w:szCs w:val="22"/>
        </w:rPr>
        <w:t>, a to i v řádu jednotek tisíc korun</w:t>
      </w:r>
      <w:r w:rsidRPr="00335B3F">
        <w:rPr>
          <w:rFonts w:ascii="Tahoma" w:hAnsi="Tahoma" w:cs="Tahoma"/>
          <w:sz w:val="22"/>
          <w:szCs w:val="22"/>
        </w:rPr>
        <w:t xml:space="preserve">. To se však nestalo, výstupem je v podstatě výčet </w:t>
      </w:r>
      <w:r w:rsidR="00335B3F">
        <w:rPr>
          <w:rFonts w:ascii="Tahoma" w:hAnsi="Tahoma" w:cs="Tahoma"/>
          <w:sz w:val="22"/>
          <w:szCs w:val="22"/>
        </w:rPr>
        <w:t xml:space="preserve">kontrolovaných </w:t>
      </w:r>
      <w:r w:rsidRPr="00335B3F">
        <w:rPr>
          <w:rFonts w:ascii="Tahoma" w:hAnsi="Tahoma" w:cs="Tahoma"/>
          <w:sz w:val="22"/>
          <w:szCs w:val="22"/>
        </w:rPr>
        <w:t>opatření bez toho, aby byl zjišťován důvod jejich provedení.</w:t>
      </w:r>
    </w:p>
    <w:p w14:paraId="4D5BDCEB" w14:textId="40C3C993" w:rsidR="00D113F0" w:rsidRPr="00335B3F" w:rsidRDefault="00D113F0" w:rsidP="00D113F0">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 xml:space="preserve">Je také s podivem, že finanční výbor, cituji ze zprávy: </w:t>
      </w:r>
      <w:r w:rsidR="00B67562" w:rsidRPr="00335B3F">
        <w:rPr>
          <w:rFonts w:ascii="Tahoma" w:hAnsi="Tahoma" w:cs="Tahoma"/>
          <w:sz w:val="22"/>
          <w:szCs w:val="22"/>
        </w:rPr>
        <w:t xml:space="preserve">„… </w:t>
      </w:r>
      <w:r w:rsidRPr="00335B3F">
        <w:rPr>
          <w:rFonts w:ascii="Tahoma" w:hAnsi="Tahoma" w:cs="Tahoma"/>
          <w:sz w:val="22"/>
          <w:szCs w:val="22"/>
        </w:rPr>
        <w:t>kontaktoval Bc. Kamilu Lidralovou za účelem upřesnění analýzy rozpočtových opatření. Finanční výbor se má zaměřit na provedení úprav rozpočtu na výdajové straně a věnovat pozornost zejména vyšším částkám a rozpočtovým opatřením jako celku.</w:t>
      </w:r>
      <w:r w:rsidR="00B67562" w:rsidRPr="00335B3F">
        <w:rPr>
          <w:rFonts w:ascii="Tahoma" w:hAnsi="Tahoma" w:cs="Tahoma"/>
          <w:sz w:val="22"/>
          <w:szCs w:val="22"/>
        </w:rPr>
        <w:t>“ Takovéto „upřesňování“ nemá žádnou oporu v zákoně. Pokud finanční výbor chtěl upřesnit zadání, měl o to požádat dle §118, resp.§119 zákona č.128/2000Sb., o obcích, zastupitelstvo obce</w:t>
      </w:r>
      <w:r w:rsidR="00D238A1" w:rsidRPr="00335B3F">
        <w:rPr>
          <w:rFonts w:ascii="Tahoma" w:hAnsi="Tahoma" w:cs="Tahoma"/>
          <w:sz w:val="22"/>
          <w:szCs w:val="22"/>
        </w:rPr>
        <w:t xml:space="preserve"> (mimochodem od zadání úkolu finančnímu výboru 16.6.2021 proběhla dvě řádná zasedání zastupitelstva dne 30.6. a 2</w:t>
      </w:r>
      <w:r w:rsidR="000433FF">
        <w:rPr>
          <w:rFonts w:ascii="Tahoma" w:hAnsi="Tahoma" w:cs="Tahoma"/>
          <w:sz w:val="22"/>
          <w:szCs w:val="22"/>
        </w:rPr>
        <w:t>5</w:t>
      </w:r>
      <w:r w:rsidR="00D238A1" w:rsidRPr="00335B3F">
        <w:rPr>
          <w:rFonts w:ascii="Tahoma" w:hAnsi="Tahoma" w:cs="Tahoma"/>
          <w:sz w:val="22"/>
          <w:szCs w:val="22"/>
        </w:rPr>
        <w:t>.8., kde mohla být tato nejasnost zadání vyřešena hlasováním)</w:t>
      </w:r>
      <w:r w:rsidR="00B67562" w:rsidRPr="00335B3F">
        <w:rPr>
          <w:rFonts w:ascii="Tahoma" w:hAnsi="Tahoma" w:cs="Tahoma"/>
          <w:sz w:val="22"/>
          <w:szCs w:val="22"/>
        </w:rPr>
        <w:t xml:space="preserve">. </w:t>
      </w:r>
      <w:r w:rsidR="00FB05AB">
        <w:rPr>
          <w:rFonts w:ascii="Tahoma" w:hAnsi="Tahoma" w:cs="Tahoma"/>
          <w:sz w:val="22"/>
          <w:szCs w:val="22"/>
        </w:rPr>
        <w:t xml:space="preserve">Jedině zastupitelstvo </w:t>
      </w:r>
      <w:r w:rsidR="00B67562" w:rsidRPr="00335B3F">
        <w:rPr>
          <w:rFonts w:ascii="Tahoma" w:hAnsi="Tahoma" w:cs="Tahoma"/>
          <w:sz w:val="22"/>
          <w:szCs w:val="22"/>
        </w:rPr>
        <w:t>může výbor úkolovat. Tento postup zpochybňuje bohužel celý výstup z práce finančního výboru</w:t>
      </w:r>
      <w:r w:rsidR="00D238A1" w:rsidRPr="00335B3F">
        <w:rPr>
          <w:rFonts w:ascii="Tahoma" w:hAnsi="Tahoma" w:cs="Tahoma"/>
          <w:sz w:val="22"/>
          <w:szCs w:val="22"/>
        </w:rPr>
        <w:t>, neboť konkretizace zadání neprošla zákonným procesem.</w:t>
      </w:r>
    </w:p>
    <w:p w14:paraId="3536A82E" w14:textId="779740B8" w:rsidR="00D238A1" w:rsidRPr="00335B3F" w:rsidRDefault="00D238A1" w:rsidP="00D113F0">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 xml:space="preserve">Podle mého názoru předložený rozbor, ač je zpracovaný podrobně, neodpovídá na zásadní otázku, a to co je důvodem provádění rozpočtových opatření. Při porovnání </w:t>
      </w:r>
      <w:r w:rsidR="003A0841" w:rsidRPr="00335B3F">
        <w:rPr>
          <w:rFonts w:ascii="Tahoma" w:hAnsi="Tahoma" w:cs="Tahoma"/>
          <w:sz w:val="22"/>
          <w:szCs w:val="22"/>
        </w:rPr>
        <w:t xml:space="preserve">rozpočtů </w:t>
      </w:r>
      <w:r w:rsidR="00310C64">
        <w:rPr>
          <w:rFonts w:ascii="Tahoma" w:hAnsi="Tahoma" w:cs="Tahoma"/>
          <w:sz w:val="22"/>
          <w:szCs w:val="22"/>
        </w:rPr>
        <w:t xml:space="preserve">a jejich plnění </w:t>
      </w:r>
      <w:r w:rsidR="003A0841" w:rsidRPr="00335B3F">
        <w:rPr>
          <w:rFonts w:ascii="Tahoma" w:hAnsi="Tahoma" w:cs="Tahoma"/>
          <w:sz w:val="22"/>
          <w:szCs w:val="22"/>
        </w:rPr>
        <w:t>za roky 201</w:t>
      </w:r>
      <w:r w:rsidR="00310C64">
        <w:rPr>
          <w:rFonts w:ascii="Tahoma" w:hAnsi="Tahoma" w:cs="Tahoma"/>
          <w:sz w:val="22"/>
          <w:szCs w:val="22"/>
        </w:rPr>
        <w:t>7</w:t>
      </w:r>
      <w:r w:rsidR="003A0841" w:rsidRPr="00335B3F">
        <w:rPr>
          <w:rFonts w:ascii="Tahoma" w:hAnsi="Tahoma" w:cs="Tahoma"/>
          <w:sz w:val="22"/>
          <w:szCs w:val="22"/>
        </w:rPr>
        <w:t xml:space="preserve"> – 2020 jsem zjistil následující skutečnosti:</w:t>
      </w:r>
    </w:p>
    <w:p w14:paraId="7B471A26" w14:textId="009AC664" w:rsidR="003A0841"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 xml:space="preserve">Na příjmové straně jsou pravidelně použity nižší částky </w:t>
      </w:r>
      <w:r w:rsidR="00070BDD">
        <w:rPr>
          <w:rFonts w:ascii="Tahoma" w:hAnsi="Tahoma" w:cs="Tahoma"/>
          <w:sz w:val="22"/>
          <w:szCs w:val="22"/>
        </w:rPr>
        <w:t xml:space="preserve">daňových příjmů </w:t>
      </w:r>
      <w:r w:rsidRPr="00335B3F">
        <w:rPr>
          <w:rFonts w:ascii="Tahoma" w:hAnsi="Tahoma" w:cs="Tahoma"/>
          <w:sz w:val="22"/>
          <w:szCs w:val="22"/>
        </w:rPr>
        <w:t xml:space="preserve">nežli jsou predikce MF ČR či SMS ČR. </w:t>
      </w:r>
    </w:p>
    <w:p w14:paraId="0A45B520" w14:textId="1BA03259"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Rok</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schválený rozpočet</w:t>
      </w:r>
      <w:r w:rsidRPr="00335B3F">
        <w:rPr>
          <w:rFonts w:ascii="Tahoma" w:hAnsi="Tahoma" w:cs="Tahoma"/>
          <w:sz w:val="22"/>
          <w:szCs w:val="22"/>
        </w:rPr>
        <w:tab/>
        <w:t>(tis.Kč)</w:t>
      </w:r>
      <w:r w:rsidRPr="00335B3F">
        <w:rPr>
          <w:rFonts w:ascii="Tahoma" w:hAnsi="Tahoma" w:cs="Tahoma"/>
          <w:sz w:val="22"/>
          <w:szCs w:val="22"/>
        </w:rPr>
        <w:tab/>
      </w:r>
      <w:r w:rsidR="00070BDD">
        <w:rPr>
          <w:rFonts w:ascii="Tahoma" w:hAnsi="Tahoma" w:cs="Tahoma"/>
          <w:sz w:val="22"/>
          <w:szCs w:val="22"/>
        </w:rPr>
        <w:tab/>
      </w:r>
      <w:r w:rsidRPr="00335B3F">
        <w:rPr>
          <w:rFonts w:ascii="Tahoma" w:hAnsi="Tahoma" w:cs="Tahoma"/>
          <w:sz w:val="22"/>
          <w:szCs w:val="22"/>
        </w:rPr>
        <w:t>skutečnost (tis.Kč)</w:t>
      </w:r>
    </w:p>
    <w:p w14:paraId="7ECC3B8B" w14:textId="7469AF87"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2017</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4.700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5.699</w:t>
      </w:r>
    </w:p>
    <w:p w14:paraId="27860E6B" w14:textId="5239A819"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2018</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5.666</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6.643</w:t>
      </w:r>
    </w:p>
    <w:p w14:paraId="08F2B348" w14:textId="23BB7F54"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2019</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5.720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6.721</w:t>
      </w:r>
    </w:p>
    <w:p w14:paraId="6B108005" w14:textId="224AD01F"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2020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6.641</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6.522</w:t>
      </w:r>
    </w:p>
    <w:p w14:paraId="2B1EF75A" w14:textId="197538DA"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Do rozpočtu dále není dlouhodobě zahrnováno provozní saldo z minulých let, což v důsledku vytěsňuje tyto prostředky mimo rozpočet a dává zkreslený obraz o finančních možnostech obce.</w:t>
      </w:r>
    </w:p>
    <w:p w14:paraId="3B700067" w14:textId="6718A61B"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Na výdajové straně jsou opakovaně podhodnocovány některé položky, při tvorbě rozpočtu není reflektována skutečnost minulých let, a to opakovaně. Jako příklad uvádím například par.3745 pol.5171 Opravy a udržování.</w:t>
      </w:r>
    </w:p>
    <w:p w14:paraId="37A943C2" w14:textId="6C7AADA7"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Rok</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schválený rozpočet</w:t>
      </w:r>
      <w:r w:rsidRPr="00335B3F">
        <w:rPr>
          <w:rFonts w:ascii="Tahoma" w:hAnsi="Tahoma" w:cs="Tahoma"/>
          <w:sz w:val="22"/>
          <w:szCs w:val="22"/>
        </w:rPr>
        <w:tab/>
        <w:t>(tis.Kč)</w:t>
      </w:r>
      <w:r w:rsidRPr="00335B3F">
        <w:rPr>
          <w:rFonts w:ascii="Tahoma" w:hAnsi="Tahoma" w:cs="Tahoma"/>
          <w:sz w:val="22"/>
          <w:szCs w:val="22"/>
        </w:rPr>
        <w:tab/>
      </w:r>
      <w:r w:rsidR="00310C64">
        <w:rPr>
          <w:rFonts w:ascii="Tahoma" w:hAnsi="Tahoma" w:cs="Tahoma"/>
          <w:sz w:val="22"/>
          <w:szCs w:val="22"/>
        </w:rPr>
        <w:tab/>
      </w:r>
      <w:r w:rsidRPr="00335B3F">
        <w:rPr>
          <w:rFonts w:ascii="Tahoma" w:hAnsi="Tahoma" w:cs="Tahoma"/>
          <w:sz w:val="22"/>
          <w:szCs w:val="22"/>
        </w:rPr>
        <w:t>skutečnost (tis.Kč)</w:t>
      </w:r>
    </w:p>
    <w:p w14:paraId="6D844F23" w14:textId="46D3F482" w:rsidR="00335B3F" w:rsidRDefault="00335B3F" w:rsidP="00C84AD7">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2017</w:t>
      </w:r>
      <w:r>
        <w:rPr>
          <w:rFonts w:ascii="Tahoma" w:hAnsi="Tahoma" w:cs="Tahoma"/>
          <w:sz w:val="22"/>
          <w:szCs w:val="22"/>
        </w:rPr>
        <w:tab/>
      </w:r>
      <w:r>
        <w:rPr>
          <w:rFonts w:ascii="Tahoma" w:hAnsi="Tahoma" w:cs="Tahoma"/>
          <w:sz w:val="22"/>
          <w:szCs w:val="22"/>
        </w:rPr>
        <w:tab/>
      </w:r>
      <w:r>
        <w:rPr>
          <w:rFonts w:ascii="Tahoma" w:hAnsi="Tahoma" w:cs="Tahoma"/>
          <w:sz w:val="22"/>
          <w:szCs w:val="22"/>
        </w:rPr>
        <w:tab/>
        <w:t>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45</w:t>
      </w:r>
    </w:p>
    <w:p w14:paraId="233EFFF4" w14:textId="0CCE9DB1"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2018</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30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118</w:t>
      </w:r>
    </w:p>
    <w:p w14:paraId="1802173F" w14:textId="2282F278"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2019</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95</w:t>
      </w:r>
    </w:p>
    <w:p w14:paraId="149CA13D" w14:textId="6116FD82"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2020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123</w:t>
      </w:r>
    </w:p>
    <w:p w14:paraId="4A085631" w14:textId="3CDF7A35" w:rsidR="00C84AD7" w:rsidRPr="00335B3F" w:rsidRDefault="00C84AD7" w:rsidP="00C84AD7">
      <w:pPr>
        <w:pStyle w:val="Normlnweb"/>
        <w:shd w:val="clear" w:color="auto" w:fill="FFFFFF"/>
        <w:spacing w:before="0" w:beforeAutospacing="0"/>
        <w:jc w:val="both"/>
        <w:rPr>
          <w:rFonts w:ascii="Tahoma" w:hAnsi="Tahoma" w:cs="Tahoma"/>
          <w:sz w:val="22"/>
          <w:szCs w:val="22"/>
        </w:rPr>
      </w:pPr>
    </w:p>
    <w:p w14:paraId="64600603" w14:textId="183BFF68" w:rsidR="00C84AD7" w:rsidRPr="00335B3F" w:rsidRDefault="00C84AD7" w:rsidP="00C84AD7">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lastRenderedPageBreak/>
        <w:t>Další položkou která je neustále předmětem rozpočtových opatření je par.3745 pol.5169 nákup ostatních služeb. Tato položka zahrnuje směs služeb od zemních prací, přes výsadby zeleně po práci na fakturu. Většinově se jedná o provozní výdaje</w:t>
      </w:r>
      <w:r w:rsidR="00335B3F" w:rsidRPr="00335B3F">
        <w:rPr>
          <w:rFonts w:ascii="Tahoma" w:hAnsi="Tahoma" w:cs="Tahoma"/>
          <w:sz w:val="22"/>
          <w:szCs w:val="22"/>
        </w:rPr>
        <w:t xml:space="preserve"> opakující se v minulých letech.</w:t>
      </w:r>
    </w:p>
    <w:p w14:paraId="6CCA6F7B" w14:textId="66AF41C2"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Rok</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schválený rozpočet</w:t>
      </w:r>
      <w:r w:rsidRPr="00335B3F">
        <w:rPr>
          <w:rFonts w:ascii="Tahoma" w:hAnsi="Tahoma" w:cs="Tahoma"/>
          <w:sz w:val="22"/>
          <w:szCs w:val="22"/>
        </w:rPr>
        <w:tab/>
        <w:t>(tis.Kč)</w:t>
      </w:r>
      <w:r w:rsidRPr="00335B3F">
        <w:rPr>
          <w:rFonts w:ascii="Tahoma" w:hAnsi="Tahoma" w:cs="Tahoma"/>
          <w:sz w:val="22"/>
          <w:szCs w:val="22"/>
        </w:rPr>
        <w:tab/>
      </w:r>
      <w:r w:rsidR="00310C64">
        <w:rPr>
          <w:rFonts w:ascii="Tahoma" w:hAnsi="Tahoma" w:cs="Tahoma"/>
          <w:sz w:val="22"/>
          <w:szCs w:val="22"/>
        </w:rPr>
        <w:tab/>
      </w:r>
      <w:r w:rsidRPr="00335B3F">
        <w:rPr>
          <w:rFonts w:ascii="Tahoma" w:hAnsi="Tahoma" w:cs="Tahoma"/>
          <w:sz w:val="22"/>
          <w:szCs w:val="22"/>
        </w:rPr>
        <w:t>skutečnost (tis.Kč)</w:t>
      </w:r>
    </w:p>
    <w:p w14:paraId="621BAA64" w14:textId="1EFD0E8A" w:rsidR="00310C64" w:rsidRDefault="00310C64" w:rsidP="00335B3F">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2017</w:t>
      </w:r>
      <w:r>
        <w:rPr>
          <w:rFonts w:ascii="Tahoma" w:hAnsi="Tahoma" w:cs="Tahoma"/>
          <w:sz w:val="22"/>
          <w:szCs w:val="22"/>
        </w:rPr>
        <w:tab/>
      </w:r>
      <w:r>
        <w:rPr>
          <w:rFonts w:ascii="Tahoma" w:hAnsi="Tahoma" w:cs="Tahoma"/>
          <w:sz w:val="22"/>
          <w:szCs w:val="22"/>
        </w:rPr>
        <w:tab/>
      </w:r>
      <w:r>
        <w:rPr>
          <w:rFonts w:ascii="Tahoma" w:hAnsi="Tahoma" w:cs="Tahoma"/>
          <w:sz w:val="22"/>
          <w:szCs w:val="22"/>
        </w:rPr>
        <w:tab/>
        <w:t>50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109</w:t>
      </w:r>
    </w:p>
    <w:p w14:paraId="2D23B30D" w14:textId="0A6F123F"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2018</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70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171</w:t>
      </w:r>
    </w:p>
    <w:p w14:paraId="4D98CCD1" w14:textId="1EBFB90C"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2019</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50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204</w:t>
      </w:r>
    </w:p>
    <w:p w14:paraId="79F6589F" w14:textId="0EB2963D"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2020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50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413</w:t>
      </w:r>
    </w:p>
    <w:p w14:paraId="1ED8BE03" w14:textId="7187B3A7"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 xml:space="preserve">Největší rozdíly mezi schváleným rozpočtem a skutečným výsledkem za rok vznikají </w:t>
      </w:r>
      <w:r w:rsidR="00310C64">
        <w:rPr>
          <w:rFonts w:ascii="Tahoma" w:hAnsi="Tahoma" w:cs="Tahoma"/>
          <w:sz w:val="22"/>
          <w:szCs w:val="22"/>
        </w:rPr>
        <w:t xml:space="preserve">pak </w:t>
      </w:r>
      <w:r w:rsidRPr="00335B3F">
        <w:rPr>
          <w:rFonts w:ascii="Tahoma" w:hAnsi="Tahoma" w:cs="Tahoma"/>
          <w:sz w:val="22"/>
          <w:szCs w:val="22"/>
        </w:rPr>
        <w:t>na par.3745 Péče o vzhled obcí a veřejnou zeleň, a to opakovaně:</w:t>
      </w:r>
    </w:p>
    <w:p w14:paraId="76360BEC" w14:textId="3964DB60"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Rok</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schválený rozpočet</w:t>
      </w:r>
      <w:r w:rsidRPr="00335B3F">
        <w:rPr>
          <w:rFonts w:ascii="Tahoma" w:hAnsi="Tahoma" w:cs="Tahoma"/>
          <w:sz w:val="22"/>
          <w:szCs w:val="22"/>
        </w:rPr>
        <w:tab/>
        <w:t>(tis.Kč)</w:t>
      </w:r>
      <w:r w:rsidRPr="00335B3F">
        <w:rPr>
          <w:rFonts w:ascii="Tahoma" w:hAnsi="Tahoma" w:cs="Tahoma"/>
          <w:sz w:val="22"/>
          <w:szCs w:val="22"/>
        </w:rPr>
        <w:tab/>
      </w:r>
      <w:r w:rsidR="00310C64">
        <w:rPr>
          <w:rFonts w:ascii="Tahoma" w:hAnsi="Tahoma" w:cs="Tahoma"/>
          <w:sz w:val="22"/>
          <w:szCs w:val="22"/>
        </w:rPr>
        <w:tab/>
      </w:r>
      <w:r w:rsidRPr="00335B3F">
        <w:rPr>
          <w:rFonts w:ascii="Tahoma" w:hAnsi="Tahoma" w:cs="Tahoma"/>
          <w:sz w:val="22"/>
          <w:szCs w:val="22"/>
        </w:rPr>
        <w:t>skutečnost (tis.Kč)</w:t>
      </w:r>
    </w:p>
    <w:p w14:paraId="1E61E949" w14:textId="516EF014"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2017</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270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413</w:t>
      </w:r>
    </w:p>
    <w:p w14:paraId="127448B6" w14:textId="2AC65930"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2018</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215</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504</w:t>
      </w:r>
    </w:p>
    <w:p w14:paraId="121617DB" w14:textId="546AE1B1" w:rsidR="00335B3F" w:rsidRP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2019</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205</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540</w:t>
      </w:r>
    </w:p>
    <w:p w14:paraId="749DE6B3" w14:textId="4C57FEC2" w:rsidR="00335B3F" w:rsidRDefault="00335B3F" w:rsidP="00335B3F">
      <w:pPr>
        <w:pStyle w:val="Normlnweb"/>
        <w:shd w:val="clear" w:color="auto" w:fill="FFFFFF"/>
        <w:spacing w:before="0" w:beforeAutospacing="0"/>
        <w:jc w:val="both"/>
        <w:rPr>
          <w:rFonts w:ascii="Tahoma" w:hAnsi="Tahoma" w:cs="Tahoma"/>
          <w:sz w:val="22"/>
          <w:szCs w:val="22"/>
        </w:rPr>
      </w:pPr>
      <w:r w:rsidRPr="00335B3F">
        <w:rPr>
          <w:rFonts w:ascii="Tahoma" w:hAnsi="Tahoma" w:cs="Tahoma"/>
          <w:sz w:val="22"/>
          <w:szCs w:val="22"/>
        </w:rPr>
        <w:t>2020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310</w:t>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r>
      <w:r w:rsidRPr="00335B3F">
        <w:rPr>
          <w:rFonts w:ascii="Tahoma" w:hAnsi="Tahoma" w:cs="Tahoma"/>
          <w:sz w:val="22"/>
          <w:szCs w:val="22"/>
        </w:rPr>
        <w:tab/>
        <w:t>759</w:t>
      </w:r>
    </w:p>
    <w:p w14:paraId="66D54904" w14:textId="0787653A" w:rsidR="00335B3F" w:rsidRDefault="00335B3F" w:rsidP="00335B3F">
      <w:pPr>
        <w:pStyle w:val="Normlnweb"/>
        <w:shd w:val="clear" w:color="auto" w:fill="FFFFFF"/>
        <w:spacing w:before="0" w:beforeAutospacing="0"/>
        <w:jc w:val="both"/>
        <w:rPr>
          <w:rFonts w:ascii="Tahoma" w:hAnsi="Tahoma" w:cs="Tahoma"/>
          <w:sz w:val="22"/>
          <w:szCs w:val="22"/>
        </w:rPr>
      </w:pPr>
    </w:p>
    <w:p w14:paraId="70432235" w14:textId="35EF653D" w:rsidR="0080352B" w:rsidRDefault="0080352B" w:rsidP="00335B3F">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 xml:space="preserve">Abychom se vyhnuli neustálému procesu rozpočtových opatření, musel by rozpočet více reflektovat především výsledky hospodaření za uplynulé roky. Navrhuji tedy následující opatření pro tvorbu rozpočtu na příští rok: </w:t>
      </w:r>
    </w:p>
    <w:p w14:paraId="3C0BA1E3" w14:textId="7A73EE17" w:rsidR="0080352B" w:rsidRDefault="0080352B" w:rsidP="00335B3F">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Na příjmové straně uvést příjmy dle predikce MF ČR či SMS ČR s ponížením max. o 3%</w:t>
      </w:r>
    </w:p>
    <w:p w14:paraId="4C81DA2C" w14:textId="748CD18D" w:rsidR="0080352B" w:rsidRDefault="0080352B" w:rsidP="00335B3F">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Do příjmů zahrnout provozní saldo rozpočtu z minulých let.</w:t>
      </w:r>
    </w:p>
    <w:p w14:paraId="59500B6D" w14:textId="7D109045" w:rsidR="0080352B" w:rsidRDefault="0080352B" w:rsidP="00335B3F">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Na výdajové straně rozpočtovat paragrafy úměrně výsledkům minulých let, např. ve výši alespoň 80%.</w:t>
      </w:r>
    </w:p>
    <w:p w14:paraId="2819DA85" w14:textId="775FFBC6" w:rsidR="0080352B" w:rsidRDefault="0080352B" w:rsidP="00335B3F">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Rozpočet stanovit závazně pouze na jednotlivé paragrafy nikoliv položky. To umožní pružnější reagování na vzniklou situaci bez nutnosti provádění rozpočtových opatření.</w:t>
      </w:r>
      <w:r w:rsidR="00FB05AB">
        <w:rPr>
          <w:rFonts w:ascii="Tahoma" w:hAnsi="Tahoma" w:cs="Tahoma"/>
          <w:sz w:val="22"/>
          <w:szCs w:val="22"/>
        </w:rPr>
        <w:t xml:space="preserve"> (Toto řešení mimochodem doporučuje i Jiří Lorenc v knize Rozpočtová skladba 2021).</w:t>
      </w:r>
    </w:p>
    <w:p w14:paraId="1AA3CEB6" w14:textId="07C36A6C" w:rsidR="00FB05AB" w:rsidRDefault="00FB05AB" w:rsidP="00335B3F">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Věřím, že pokud budou tyto náměty zohledněny při tvorbě rozpočtu na rok 2022, klesne i poč</w:t>
      </w:r>
      <w:r w:rsidR="00070BDD">
        <w:rPr>
          <w:rFonts w:ascii="Tahoma" w:hAnsi="Tahoma" w:cs="Tahoma"/>
          <w:sz w:val="22"/>
          <w:szCs w:val="22"/>
        </w:rPr>
        <w:t>e</w:t>
      </w:r>
      <w:r>
        <w:rPr>
          <w:rFonts w:ascii="Tahoma" w:hAnsi="Tahoma" w:cs="Tahoma"/>
          <w:sz w:val="22"/>
          <w:szCs w:val="22"/>
        </w:rPr>
        <w:t>t rozpočtových opatření v průběhu roku.</w:t>
      </w:r>
    </w:p>
    <w:p w14:paraId="7221F674" w14:textId="6D40C784" w:rsidR="00FB05AB" w:rsidRDefault="00FB05AB" w:rsidP="00335B3F">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Ve Vidově dne 12.10.2021</w:t>
      </w:r>
    </w:p>
    <w:p w14:paraId="49689D00" w14:textId="3C4B0DDF" w:rsidR="00D113F0" w:rsidRPr="00335B3F" w:rsidRDefault="00FB05AB" w:rsidP="00070BDD">
      <w:pPr>
        <w:pStyle w:val="Normlnweb"/>
        <w:shd w:val="clear" w:color="auto" w:fill="FFFFFF"/>
        <w:spacing w:before="0" w:beforeAutospacing="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Ing. Tomáš Šedivý, starosta</w:t>
      </w:r>
    </w:p>
    <w:sectPr w:rsidR="00D113F0" w:rsidRPr="00335B3F" w:rsidSect="00FB0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3B29"/>
    <w:multiLevelType w:val="hybridMultilevel"/>
    <w:tmpl w:val="5726C986"/>
    <w:lvl w:ilvl="0" w:tplc="0F7EB9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153B1"/>
    <w:multiLevelType w:val="hybridMultilevel"/>
    <w:tmpl w:val="3D681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F0"/>
    <w:rsid w:val="000433FF"/>
    <w:rsid w:val="00070BDD"/>
    <w:rsid w:val="00181EF3"/>
    <w:rsid w:val="00310C64"/>
    <w:rsid w:val="00335B3F"/>
    <w:rsid w:val="003A0841"/>
    <w:rsid w:val="006A193B"/>
    <w:rsid w:val="0080352B"/>
    <w:rsid w:val="00B67562"/>
    <w:rsid w:val="00C84AD7"/>
    <w:rsid w:val="00CF7DD4"/>
    <w:rsid w:val="00D113F0"/>
    <w:rsid w:val="00D238A1"/>
    <w:rsid w:val="00FB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6B7B"/>
  <w15:chartTrackingRefBased/>
  <w15:docId w15:val="{4A5601F2-DBCE-48AD-8C81-EE707F86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113F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3413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Tomáš Hanus</cp:lastModifiedBy>
  <cp:revision>2</cp:revision>
  <cp:lastPrinted>2021-10-11T16:27:00Z</cp:lastPrinted>
  <dcterms:created xsi:type="dcterms:W3CDTF">2021-10-23T09:32:00Z</dcterms:created>
  <dcterms:modified xsi:type="dcterms:W3CDTF">2021-10-23T09:32:00Z</dcterms:modified>
</cp:coreProperties>
</file>